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09" w:firstLine="0"/>
        <w:jc w:val="center"/>
        <w:rPr>
          <w:rFonts w:ascii="Arial" w:hAnsi="Arial" w:cs="Arial"/>
          <w:sz w:val="32"/>
          <w:szCs w:val="32"/>
        </w:rPr>
      </w:pPr>
    </w:p>
    <w:p>
      <w:pPr>
        <w:ind w:left="709" w:firstLine="0"/>
        <w:jc w:val="center"/>
        <w:rPr>
          <w:rFonts w:ascii="Arial" w:hAnsi="Arial" w:cs="Arial"/>
          <w:sz w:val="32"/>
          <w:szCs w:val="32"/>
        </w:rPr>
      </w:pPr>
    </w:p>
    <w:p>
      <w:pPr>
        <w:ind w:left="709" w:firstLine="0"/>
        <w:jc w:val="center"/>
        <w:rPr>
          <w:rFonts w:ascii="Arial" w:hAnsi="Arial" w:cs="Arial"/>
          <w:sz w:val="32"/>
          <w:szCs w:val="32"/>
        </w:rPr>
      </w:pPr>
    </w:p>
    <w:p>
      <w:pPr>
        <w:ind w:left="709" w:firstLine="0"/>
        <w:jc w:val="center"/>
        <w:rPr>
          <w:rFonts w:ascii="Arial" w:hAnsi="Arial" w:cs="Arial"/>
          <w:sz w:val="32"/>
          <w:szCs w:val="32"/>
        </w:rPr>
      </w:pPr>
    </w:p>
    <w:p>
      <w:pPr>
        <w:ind w:left="709" w:firstLine="0"/>
        <w:jc w:val="center"/>
        <w:rPr>
          <w:rFonts w:ascii="Arial" w:hAnsi="Arial" w:cs="Arial"/>
          <w:sz w:val="32"/>
          <w:szCs w:val="32"/>
        </w:rPr>
      </w:pPr>
    </w:p>
    <w:p>
      <w:pPr>
        <w:ind w:left="709" w:firstLine="0"/>
        <w:jc w:val="center"/>
        <w:rPr>
          <w:rFonts w:ascii="Arial" w:hAnsi="Arial" w:cs="Arial"/>
          <w:sz w:val="32"/>
          <w:szCs w:val="32"/>
        </w:rPr>
      </w:pPr>
    </w:p>
    <w:p>
      <w:pPr>
        <w:ind w:left="709" w:firstLine="0"/>
        <w:jc w:val="center"/>
        <w:rPr>
          <w:rFonts w:ascii="Arial" w:hAnsi="Arial" w:cs="Arial"/>
          <w:sz w:val="32"/>
          <w:szCs w:val="32"/>
        </w:rPr>
      </w:pPr>
    </w:p>
    <w:p>
      <w:pPr>
        <w:ind w:left="709" w:firstLine="0"/>
        <w:jc w:val="center"/>
        <w:rPr>
          <w:rFonts w:ascii="Arial" w:hAnsi="Arial" w:cs="Arial"/>
          <w:sz w:val="32"/>
          <w:szCs w:val="32"/>
        </w:rPr>
      </w:pPr>
    </w:p>
    <w:p>
      <w:pPr>
        <w:ind w:left="709" w:firstLine="0"/>
        <w:jc w:val="center"/>
        <w:rPr>
          <w:rFonts w:ascii="Arial" w:hAnsi="Arial" w:cs="Arial"/>
          <w:sz w:val="32"/>
          <w:szCs w:val="32"/>
        </w:rPr>
      </w:pPr>
    </w:p>
    <w:p>
      <w:pPr>
        <w:ind w:left="709" w:firstLine="0"/>
        <w:jc w:val="center"/>
        <w:rPr>
          <w:rFonts w:ascii="Arial" w:hAnsi="Arial" w:cs="Arial"/>
          <w:sz w:val="32"/>
          <w:szCs w:val="32"/>
        </w:rPr>
      </w:pPr>
    </w:p>
    <w:p>
      <w:pPr>
        <w:ind w:left="709" w:firstLine="0"/>
        <w:jc w:val="center"/>
        <w:rPr>
          <w:rFonts w:ascii="Arial" w:hAnsi="Arial" w:cs="Arial"/>
          <w:sz w:val="32"/>
          <w:szCs w:val="32"/>
        </w:rPr>
      </w:pPr>
    </w:p>
    <w:p>
      <w:pPr>
        <w:ind w:left="709" w:firstLine="0"/>
        <w:jc w:val="center"/>
        <w:rPr>
          <w:rFonts w:ascii="Arial" w:hAnsi="Arial" w:cs="Arial"/>
          <w:sz w:val="32"/>
          <w:szCs w:val="32"/>
        </w:rPr>
      </w:pPr>
    </w:p>
    <w:p>
      <w:pPr>
        <w:ind w:left="709"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RELATÓRIO CIRCUNSTANCIADO DE FISCALIZAÇÃO TÉCNICA E SETORIAL </w:t>
      </w:r>
      <w:r>
        <w:rPr>
          <w:rStyle w:val="16"/>
          <w:rFonts w:ascii="Arial" w:hAnsi="Arial" w:cs="Arial"/>
          <w:sz w:val="32"/>
          <w:szCs w:val="32"/>
        </w:rPr>
        <w:footnoteReference w:id="0"/>
      </w:r>
    </w:p>
    <w:p>
      <w:pPr>
        <w:ind w:left="709" w:firstLine="0"/>
        <w:jc w:val="center"/>
        <w:rPr>
          <w:rFonts w:ascii="Arial" w:hAnsi="Arial" w:cs="Arial"/>
          <w:sz w:val="32"/>
          <w:szCs w:val="32"/>
        </w:rPr>
      </w:pPr>
    </w:p>
    <w:p>
      <w:pPr>
        <w:ind w:left="709" w:firstLine="0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IN 05/2017/SEGES-MP</w:t>
      </w:r>
    </w:p>
    <w:p>
      <w:pPr>
        <w:ind w:left="709" w:firstLine="0"/>
        <w:jc w:val="center"/>
        <w:rPr>
          <w:rFonts w:ascii="Arial" w:hAnsi="Arial" w:cs="Arial"/>
          <w:sz w:val="24"/>
          <w:szCs w:val="32"/>
        </w:rPr>
      </w:pPr>
    </w:p>
    <w:p>
      <w:pPr>
        <w:ind w:left="709" w:firstLine="0"/>
        <w:jc w:val="center"/>
        <w:rPr>
          <w:rFonts w:ascii="Arial" w:hAnsi="Arial" w:cs="Arial"/>
          <w:color w:val="FF0000"/>
          <w:sz w:val="24"/>
          <w:szCs w:val="32"/>
        </w:rPr>
      </w:pPr>
      <w:bookmarkStart w:id="0" w:name="_GoBack"/>
      <w:bookmarkEnd w:id="0"/>
    </w:p>
    <w:p>
      <w:pPr>
        <w:ind w:left="709" w:firstLine="0"/>
        <w:jc w:val="center"/>
        <w:rPr>
          <w:rFonts w:ascii="Arial" w:hAnsi="Arial" w:cs="Arial"/>
          <w:sz w:val="24"/>
          <w:szCs w:val="32"/>
        </w:rPr>
      </w:pPr>
    </w:p>
    <w:p>
      <w:pPr>
        <w:ind w:left="709" w:firstLine="0"/>
        <w:jc w:val="center"/>
        <w:rPr>
          <w:rFonts w:ascii="Arial" w:hAnsi="Arial" w:cs="Arial"/>
          <w:sz w:val="24"/>
          <w:szCs w:val="32"/>
        </w:rPr>
      </w:pPr>
    </w:p>
    <w:p>
      <w:pPr>
        <w:ind w:left="709" w:firstLine="0"/>
        <w:jc w:val="center"/>
        <w:rPr>
          <w:rFonts w:ascii="Arial" w:hAnsi="Arial" w:cs="Arial"/>
          <w:sz w:val="24"/>
          <w:szCs w:val="32"/>
        </w:rPr>
      </w:pPr>
    </w:p>
    <w:p>
      <w:pPr>
        <w:ind w:left="709" w:firstLine="0"/>
        <w:jc w:val="center"/>
        <w:rPr>
          <w:rFonts w:ascii="Arial" w:hAnsi="Arial" w:cs="Arial"/>
          <w:sz w:val="24"/>
          <w:szCs w:val="32"/>
        </w:rPr>
      </w:pPr>
    </w:p>
    <w:p>
      <w:pPr>
        <w:ind w:left="709" w:firstLine="0"/>
        <w:jc w:val="center"/>
        <w:rPr>
          <w:rFonts w:ascii="Arial" w:hAnsi="Arial" w:cs="Arial"/>
          <w:sz w:val="24"/>
          <w:szCs w:val="32"/>
        </w:rPr>
      </w:pPr>
    </w:p>
    <w:p>
      <w:pPr>
        <w:ind w:left="709" w:firstLine="0"/>
        <w:jc w:val="center"/>
        <w:rPr>
          <w:rFonts w:ascii="Arial" w:hAnsi="Arial" w:cs="Arial"/>
          <w:sz w:val="24"/>
          <w:szCs w:val="32"/>
        </w:rPr>
      </w:pPr>
    </w:p>
    <w:p>
      <w:pPr>
        <w:ind w:left="709" w:firstLine="0"/>
        <w:jc w:val="center"/>
        <w:rPr>
          <w:rFonts w:ascii="Arial" w:hAnsi="Arial" w:cs="Arial"/>
          <w:sz w:val="24"/>
          <w:szCs w:val="32"/>
        </w:rPr>
      </w:pPr>
    </w:p>
    <w:p>
      <w:pPr>
        <w:ind w:left="709" w:firstLine="0"/>
        <w:jc w:val="center"/>
        <w:rPr>
          <w:rFonts w:ascii="Arial" w:hAnsi="Arial" w:cs="Arial"/>
          <w:sz w:val="24"/>
          <w:szCs w:val="32"/>
        </w:rPr>
      </w:pPr>
    </w:p>
    <w:p>
      <w:pPr>
        <w:ind w:left="709" w:firstLine="0"/>
        <w:jc w:val="center"/>
        <w:rPr>
          <w:rFonts w:ascii="Arial" w:hAnsi="Arial" w:cs="Arial"/>
          <w:sz w:val="24"/>
          <w:szCs w:val="32"/>
        </w:rPr>
      </w:pPr>
    </w:p>
    <w:p>
      <w:pPr>
        <w:ind w:left="709" w:firstLine="0"/>
        <w:jc w:val="left"/>
        <w:rPr>
          <w:rFonts w:ascii="Arial" w:hAnsi="Arial" w:cs="Arial"/>
          <w:sz w:val="24"/>
          <w:szCs w:val="32"/>
        </w:rPr>
      </w:pPr>
    </w:p>
    <w:p>
      <w:pPr>
        <w:ind w:left="709" w:firstLine="0"/>
        <w:jc w:val="left"/>
        <w:rPr>
          <w:rFonts w:ascii="Arial" w:hAnsi="Arial" w:cs="Arial"/>
          <w:sz w:val="24"/>
          <w:szCs w:val="32"/>
        </w:rPr>
      </w:pPr>
    </w:p>
    <w:p>
      <w:pPr>
        <w:ind w:left="709" w:firstLine="0"/>
        <w:jc w:val="left"/>
        <w:rPr>
          <w:rFonts w:ascii="Arial" w:hAnsi="Arial" w:cs="Arial"/>
          <w:sz w:val="24"/>
          <w:szCs w:val="32"/>
        </w:rPr>
      </w:pPr>
    </w:p>
    <w:p>
      <w:pPr>
        <w:ind w:left="709" w:firstLine="0"/>
        <w:jc w:val="left"/>
        <w:rPr>
          <w:rFonts w:ascii="Arial" w:hAnsi="Arial" w:cs="Arial"/>
          <w:sz w:val="24"/>
          <w:szCs w:val="32"/>
        </w:rPr>
      </w:pPr>
    </w:p>
    <w:p>
      <w:pPr>
        <w:ind w:left="709" w:firstLine="0"/>
        <w:jc w:val="left"/>
        <w:rPr>
          <w:rFonts w:ascii="Arial" w:hAnsi="Arial" w:cs="Arial"/>
          <w:sz w:val="24"/>
          <w:szCs w:val="32"/>
        </w:rPr>
      </w:pPr>
    </w:p>
    <w:p>
      <w:pPr>
        <w:ind w:left="709" w:firstLine="0"/>
        <w:jc w:val="left"/>
        <w:rPr>
          <w:rFonts w:ascii="Arial" w:hAnsi="Arial" w:cs="Arial"/>
          <w:sz w:val="24"/>
          <w:szCs w:val="32"/>
        </w:rPr>
      </w:pPr>
    </w:p>
    <w:p>
      <w:pPr>
        <w:ind w:left="709" w:firstLine="0"/>
        <w:jc w:val="left"/>
        <w:rPr>
          <w:rFonts w:ascii="Arial" w:hAnsi="Arial" w:cs="Arial"/>
          <w:sz w:val="24"/>
          <w:szCs w:val="32"/>
        </w:rPr>
      </w:pPr>
    </w:p>
    <w:p>
      <w:pPr>
        <w:ind w:left="709" w:firstLine="0"/>
        <w:jc w:val="left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Contrato:</w:t>
      </w:r>
    </w:p>
    <w:p>
      <w:pPr>
        <w:ind w:left="709" w:firstLine="0"/>
        <w:jc w:val="left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Objeto:</w:t>
      </w:r>
    </w:p>
    <w:p>
      <w:pPr>
        <w:ind w:left="709" w:firstLine="0"/>
        <w:jc w:val="left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Contratada:</w:t>
      </w:r>
    </w:p>
    <w:p>
      <w:pPr>
        <w:ind w:left="709" w:firstLine="0"/>
        <w:jc w:val="left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Equipe de Fiscalização:</w:t>
      </w:r>
    </w:p>
    <w:p>
      <w:pPr>
        <w:ind w:left="709" w:firstLine="0"/>
        <w:jc w:val="left"/>
        <w:rPr>
          <w:rFonts w:ascii="Arial" w:hAnsi="Arial" w:cs="Arial"/>
          <w:sz w:val="24"/>
          <w:szCs w:val="32"/>
        </w:rPr>
        <w:sectPr>
          <w:headerReference r:id="rId4" w:type="default"/>
          <w:footnotePr>
            <w:numFmt w:val="decimal"/>
          </w:footnotePr>
          <w:pgSz w:w="11906" w:h="16838"/>
          <w:pgMar w:top="766" w:right="720" w:bottom="720" w:left="720" w:header="709" w:footer="0" w:gutter="0"/>
          <w:pgNumType w:fmt="decimal"/>
          <w:cols w:space="720" w:num="1"/>
          <w:formProt w:val="0"/>
          <w:docGrid w:linePitch="360" w:charSpace="4096"/>
        </w:sectPr>
      </w:pPr>
      <w:r>
        <w:rPr>
          <w:rFonts w:ascii="Arial" w:hAnsi="Arial" w:cs="Arial"/>
          <w:sz w:val="24"/>
          <w:szCs w:val="32"/>
        </w:rPr>
        <w:t>Período:</w:t>
      </w:r>
    </w:p>
    <w:p>
      <w:pPr>
        <w:ind w:left="360" w:firstLine="0"/>
        <w:rPr>
          <w:rFonts w:ascii="Arial" w:hAnsi="Arial" w:cs="Arial"/>
          <w:b/>
        </w:rPr>
      </w:pPr>
    </w:p>
    <w:p>
      <w:pPr>
        <w:ind w:left="72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VERIFICAÇÃO DA MANUTENÇÃO E REPOSIÇÃO DE FUNCIONÁRIOS EM SEUS RESPECTIVOS POSTOS:</w:t>
      </w:r>
    </w:p>
    <w:tbl>
      <w:tblPr>
        <w:tblStyle w:val="3"/>
        <w:tblpPr w:leftFromText="141" w:rightFromText="141" w:vertAnchor="text" w:tblpXSpec="left" w:tblpY="1"/>
        <w:tblW w:w="15538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69"/>
        <w:gridCol w:w="2124"/>
        <w:gridCol w:w="1700"/>
        <w:gridCol w:w="5"/>
        <w:gridCol w:w="1035"/>
        <w:gridCol w:w="967"/>
        <w:gridCol w:w="3943"/>
        <w:gridCol w:w="7"/>
        <w:gridCol w:w="2288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E3BC" w:themeFill="accent3" w:themeFillTint="66"/>
          </w:tcPr>
          <w:p>
            <w:pPr>
              <w:widowControl/>
              <w:bidi w:val="0"/>
              <w:ind w:left="0" w:right="0" w:firstLine="0"/>
              <w:jc w:val="center"/>
            </w:pP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pt-BR"/>
              </w:rPr>
              <w:t>Titutar do Posto</w:t>
            </w:r>
          </w:p>
        </w:tc>
        <w:tc>
          <w:tcPr>
            <w:tcW w:w="595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E3BC" w:themeFill="accent3" w:themeFillTint="66"/>
          </w:tcPr>
          <w:p>
            <w:pPr>
              <w:widowControl/>
              <w:tabs>
                <w:tab w:val="left" w:pos="733"/>
              </w:tabs>
              <w:bidi w:val="0"/>
              <w:ind w:left="0" w:right="0" w:firstLine="0"/>
              <w:jc w:val="center"/>
            </w:pP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pt-BR"/>
              </w:rPr>
              <w:t>Substituição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E3BC" w:themeFill="accent3" w:themeFillTint="66"/>
          </w:tcPr>
          <w:p>
            <w:pPr>
              <w:widowControl/>
              <w:bidi w:val="0"/>
              <w:ind w:left="0" w:right="0" w:firstLine="0"/>
              <w:jc w:val="center"/>
            </w:pP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pt-BR"/>
              </w:rPr>
              <w:t>QTD de dias vagos para fins de desconto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6" w:hRule="atLeast"/>
        </w:trPr>
        <w:tc>
          <w:tcPr>
            <w:tcW w:w="34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E3BC" w:themeFill="accent3" w:themeFillTint="66"/>
          </w:tcPr>
          <w:p>
            <w:pPr>
              <w:widowControl/>
              <w:bidi w:val="0"/>
              <w:ind w:left="0" w:right="0" w:firstLine="0"/>
              <w:jc w:val="center"/>
            </w:pP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pt-BR"/>
              </w:rPr>
              <w:t>Funcionário</w:t>
            </w:r>
          </w:p>
        </w:tc>
        <w:tc>
          <w:tcPr>
            <w:tcW w:w="212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D6E3BC" w:themeFill="accent3" w:themeFillTint="66"/>
          </w:tcPr>
          <w:p>
            <w:pPr>
              <w:widowControl/>
              <w:bidi w:val="0"/>
              <w:ind w:left="0" w:right="0" w:firstLine="0"/>
              <w:jc w:val="center"/>
            </w:pP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D6E3BC" w:themeFill="accent3" w:themeFillTint="66"/>
          </w:tcPr>
          <w:p>
            <w:pPr>
              <w:widowControl/>
              <w:bidi w:val="0"/>
              <w:ind w:left="0" w:right="0" w:firstLine="0"/>
              <w:jc w:val="center"/>
            </w:pP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pt-BR"/>
              </w:rPr>
              <w:t>Faltas</w:t>
            </w:r>
            <w:r>
              <w:rPr>
                <w:rStyle w:val="16"/>
                <w:rFonts w:ascii="Arial" w:hAnsi="Arial" w:eastAsia="Times New Roman" w:cs="Arial"/>
                <w:b/>
                <w:color w:val="000000"/>
                <w:sz w:val="20"/>
                <w:szCs w:val="20"/>
                <w:lang w:eastAsia="pt-BR"/>
              </w:rPr>
              <w:footnoteReference w:id="1"/>
            </w:r>
          </w:p>
        </w:tc>
        <w:tc>
          <w:tcPr>
            <w:tcW w:w="10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D6E3BC" w:themeFill="accent3" w:themeFillTint="66"/>
          </w:tcPr>
          <w:p>
            <w:pPr>
              <w:widowControl/>
              <w:bidi w:val="0"/>
              <w:ind w:left="0" w:right="0" w:firstLine="0"/>
              <w:jc w:val="center"/>
            </w:pP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6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D6E3BC" w:themeFill="accent3" w:themeFillTint="66"/>
          </w:tcPr>
          <w:p>
            <w:pPr>
              <w:widowControl/>
              <w:bidi w:val="0"/>
              <w:ind w:left="0" w:right="0" w:firstLine="0"/>
              <w:jc w:val="center"/>
            </w:pP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39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D6E3BC" w:themeFill="accent3" w:themeFillTint="66"/>
          </w:tcPr>
          <w:p>
            <w:pPr>
              <w:widowControl/>
              <w:bidi w:val="0"/>
              <w:ind w:left="0" w:right="0" w:firstLine="0"/>
              <w:jc w:val="center"/>
            </w:pP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pt-BR"/>
              </w:rPr>
              <w:t>Nome do Substituto</w:t>
            </w:r>
          </w:p>
        </w:tc>
        <w:tc>
          <w:tcPr>
            <w:tcW w:w="2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4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(   )</w:t>
            </w:r>
          </w:p>
        </w:tc>
        <w:tc>
          <w:tcPr>
            <w:tcW w:w="96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(   )</w:t>
            </w:r>
          </w:p>
        </w:tc>
        <w:tc>
          <w:tcPr>
            <w:tcW w:w="39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4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(   )</w:t>
            </w:r>
          </w:p>
        </w:tc>
        <w:tc>
          <w:tcPr>
            <w:tcW w:w="96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(   )</w:t>
            </w:r>
          </w:p>
        </w:tc>
        <w:tc>
          <w:tcPr>
            <w:tcW w:w="39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4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(   )</w:t>
            </w:r>
          </w:p>
        </w:tc>
        <w:tc>
          <w:tcPr>
            <w:tcW w:w="96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(   )</w:t>
            </w:r>
          </w:p>
        </w:tc>
        <w:tc>
          <w:tcPr>
            <w:tcW w:w="39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4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(   )</w:t>
            </w:r>
          </w:p>
        </w:tc>
        <w:tc>
          <w:tcPr>
            <w:tcW w:w="96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(   )</w:t>
            </w:r>
          </w:p>
        </w:tc>
        <w:tc>
          <w:tcPr>
            <w:tcW w:w="39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4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(   )</w:t>
            </w:r>
          </w:p>
        </w:tc>
        <w:tc>
          <w:tcPr>
            <w:tcW w:w="96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(   )</w:t>
            </w:r>
          </w:p>
        </w:tc>
        <w:tc>
          <w:tcPr>
            <w:tcW w:w="39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4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(   )</w:t>
            </w:r>
          </w:p>
        </w:tc>
        <w:tc>
          <w:tcPr>
            <w:tcW w:w="96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(   )</w:t>
            </w:r>
          </w:p>
        </w:tc>
        <w:tc>
          <w:tcPr>
            <w:tcW w:w="39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4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(   )</w:t>
            </w:r>
          </w:p>
        </w:tc>
        <w:tc>
          <w:tcPr>
            <w:tcW w:w="96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(   )</w:t>
            </w:r>
          </w:p>
        </w:tc>
        <w:tc>
          <w:tcPr>
            <w:tcW w:w="39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4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(   )</w:t>
            </w:r>
          </w:p>
        </w:tc>
        <w:tc>
          <w:tcPr>
            <w:tcW w:w="96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(   )</w:t>
            </w:r>
          </w:p>
        </w:tc>
        <w:tc>
          <w:tcPr>
            <w:tcW w:w="39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4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(   )</w:t>
            </w:r>
          </w:p>
        </w:tc>
        <w:tc>
          <w:tcPr>
            <w:tcW w:w="96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(   )</w:t>
            </w:r>
          </w:p>
        </w:tc>
        <w:tc>
          <w:tcPr>
            <w:tcW w:w="39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4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(   )</w:t>
            </w:r>
          </w:p>
        </w:tc>
        <w:tc>
          <w:tcPr>
            <w:tcW w:w="96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(   )</w:t>
            </w:r>
          </w:p>
        </w:tc>
        <w:tc>
          <w:tcPr>
            <w:tcW w:w="39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4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(   )</w:t>
            </w:r>
          </w:p>
        </w:tc>
        <w:tc>
          <w:tcPr>
            <w:tcW w:w="96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(   )</w:t>
            </w:r>
          </w:p>
        </w:tc>
        <w:tc>
          <w:tcPr>
            <w:tcW w:w="39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4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(   )</w:t>
            </w:r>
          </w:p>
        </w:tc>
        <w:tc>
          <w:tcPr>
            <w:tcW w:w="96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(   )</w:t>
            </w:r>
          </w:p>
        </w:tc>
        <w:tc>
          <w:tcPr>
            <w:tcW w:w="39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4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(   )</w:t>
            </w:r>
          </w:p>
        </w:tc>
        <w:tc>
          <w:tcPr>
            <w:tcW w:w="96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(   )</w:t>
            </w:r>
          </w:p>
        </w:tc>
        <w:tc>
          <w:tcPr>
            <w:tcW w:w="39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4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(   )</w:t>
            </w:r>
          </w:p>
        </w:tc>
        <w:tc>
          <w:tcPr>
            <w:tcW w:w="96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(   )</w:t>
            </w:r>
          </w:p>
        </w:tc>
        <w:tc>
          <w:tcPr>
            <w:tcW w:w="39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4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(   )</w:t>
            </w:r>
          </w:p>
        </w:tc>
        <w:tc>
          <w:tcPr>
            <w:tcW w:w="96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(   )</w:t>
            </w:r>
          </w:p>
        </w:tc>
        <w:tc>
          <w:tcPr>
            <w:tcW w:w="39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4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(   )</w:t>
            </w:r>
          </w:p>
        </w:tc>
        <w:tc>
          <w:tcPr>
            <w:tcW w:w="96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(   )</w:t>
            </w:r>
          </w:p>
        </w:tc>
        <w:tc>
          <w:tcPr>
            <w:tcW w:w="39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4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(   )</w:t>
            </w:r>
          </w:p>
        </w:tc>
        <w:tc>
          <w:tcPr>
            <w:tcW w:w="96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(   )</w:t>
            </w:r>
          </w:p>
        </w:tc>
        <w:tc>
          <w:tcPr>
            <w:tcW w:w="39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>
      <w:pPr>
        <w:ind w:left="720" w:firstLine="0"/>
        <w:rPr>
          <w:rFonts w:ascii="Arial" w:hAnsi="Arial" w:cs="Arial"/>
          <w:b/>
        </w:rPr>
      </w:pPr>
    </w:p>
    <w:p>
      <w:pPr>
        <w:ind w:left="720" w:firstLine="0"/>
        <w:rPr>
          <w:rFonts w:ascii="Arial" w:hAnsi="Arial" w:cs="Arial"/>
          <w:b/>
        </w:rPr>
      </w:pPr>
    </w:p>
    <w:p>
      <w:pPr>
        <w:ind w:left="72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CONCLUSÃO GERAL: </w:t>
      </w:r>
      <w:r>
        <w:rPr>
          <w:rFonts w:ascii="Arial" w:hAnsi="Arial" w:cs="Arial"/>
          <w:sz w:val="24"/>
          <w:szCs w:val="24"/>
        </w:rPr>
        <w:t>Os recursos humanos empregados em função da quantidade e da formação profissional exigidos contratualmente demonstraram-se:</w:t>
      </w:r>
    </w:p>
    <w:p>
      <w:pPr>
        <w:ind w:left="720" w:firstLine="0"/>
        <w:rPr>
          <w:rFonts w:ascii="Arial" w:hAnsi="Arial" w:cs="Arial"/>
          <w:b/>
        </w:rPr>
      </w:pPr>
    </w:p>
    <w:p>
      <w:pPr>
        <w:ind w:left="720" w:firstLine="0"/>
      </w:pPr>
      <w:r>
        <w:rPr>
          <w:rFonts w:ascii="Arial" w:hAnsi="Arial" w:cs="Arial"/>
          <w:b/>
        </w:rPr>
        <w:t>(     ) ADEQUADOS           (    ) INADEQUADOS</w:t>
      </w:r>
    </w:p>
    <w:p>
      <w:pPr>
        <w:ind w:left="720" w:firstLine="0"/>
        <w:rPr>
          <w:rFonts w:ascii="Arial" w:hAnsi="Arial" w:cs="Arial"/>
          <w:b/>
        </w:rPr>
      </w:pPr>
    </w:p>
    <w:p>
      <w:pPr>
        <w:ind w:left="720" w:firstLine="0"/>
        <w:jc w:val="both"/>
      </w:pPr>
      <w:r>
        <w:rPr>
          <w:rFonts w:ascii="Arial" w:hAnsi="Arial" w:cs="Arial"/>
          <w:b/>
        </w:rPr>
        <w:t>OBSERVAÇÕES QUANTO À INADEQUAÇÃO:________________________________________________________________________________</w:t>
      </w:r>
    </w:p>
    <w:p>
      <w:pPr>
        <w:ind w:left="720" w:firstLine="0"/>
        <w:rPr>
          <w:rFonts w:ascii="Arial" w:hAnsi="Arial" w:cs="Arial"/>
          <w:b/>
        </w:rPr>
      </w:pPr>
    </w:p>
    <w:p>
      <w:pPr>
        <w:ind w:left="720" w:firstLine="0"/>
        <w:rPr>
          <w:rFonts w:ascii="Arial" w:hAnsi="Arial" w:cs="Arial"/>
          <w:b/>
        </w:rPr>
      </w:pPr>
    </w:p>
    <w:p>
      <w:pPr>
        <w:ind w:left="720" w:firstLine="0"/>
        <w:rPr>
          <w:rFonts w:ascii="Arial" w:hAnsi="Arial" w:cs="Arial"/>
          <w:b/>
        </w:rPr>
      </w:pPr>
    </w:p>
    <w:p>
      <w:pPr>
        <w:ind w:left="72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AVALIAÇÃO DO OBJETO (DE ACORDO COM O PREVISTO NO EDITAL)</w:t>
      </w:r>
      <w:r>
        <w:rPr>
          <w:rStyle w:val="16"/>
          <w:rFonts w:ascii="Arial" w:hAnsi="Arial" w:cs="Arial"/>
          <w:b/>
        </w:rPr>
        <w:footnoteReference w:id="2"/>
      </w:r>
      <w:r>
        <w:rPr>
          <w:rFonts w:ascii="Arial" w:hAnsi="Arial" w:cs="Arial"/>
          <w:b/>
        </w:rPr>
        <w:t>:</w:t>
      </w:r>
    </w:p>
    <w:p>
      <w:pPr>
        <w:rPr>
          <w:rFonts w:ascii="Arial" w:hAnsi="Arial" w:cs="Arial"/>
          <w:b/>
        </w:rPr>
      </w:pPr>
    </w:p>
    <w:p>
      <w:pPr>
        <w:ind w:left="72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PERÍODO:</w:t>
      </w:r>
      <w:r>
        <w:rPr>
          <w:rStyle w:val="16"/>
          <w:rFonts w:ascii="Arial" w:hAnsi="Arial" w:cs="Arial"/>
          <w:b/>
        </w:rPr>
        <w:footnoteReference w:id="3"/>
      </w:r>
      <w:r>
        <w:rPr>
          <w:rFonts w:ascii="Arial" w:hAnsi="Arial" w:cs="Arial"/>
          <w:b/>
        </w:rPr>
        <w:t xml:space="preserve"> (    ) DIÁRIO   (    ) SEMANAL   (    ) MENSAL   </w:t>
      </w:r>
    </w:p>
    <w:tbl>
      <w:tblPr>
        <w:tblStyle w:val="3"/>
        <w:tblW w:w="15483" w:type="dxa"/>
        <w:tblInd w:w="55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23"/>
        <w:gridCol w:w="6554"/>
        <w:gridCol w:w="1133"/>
        <w:gridCol w:w="1273"/>
        <w:gridCol w:w="1700"/>
        <w:gridCol w:w="3"/>
        <w:gridCol w:w="847"/>
        <w:gridCol w:w="1276"/>
        <w:gridCol w:w="874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1548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E3BC" w:themeFill="accent3" w:themeFillTint="66"/>
            <w:vAlign w:val="bottom"/>
          </w:tcPr>
          <w:p>
            <w:pPr>
              <w:widowControl/>
              <w:bidi w:val="0"/>
              <w:ind w:left="0" w:right="0" w:firstLine="0"/>
              <w:jc w:val="center"/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AFERIÇÃO DA QUALIDADE DA PRESTAÇÃO DOS SERVIÇOS</w:t>
            </w:r>
            <w:r>
              <w:rPr>
                <w:rStyle w:val="16"/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footnoteReference w:id="4"/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837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D6E3BC" w:themeFill="accent3" w:themeFillTint="66"/>
            <w:vAlign w:val="center"/>
          </w:tcPr>
          <w:p>
            <w:pPr>
              <w:widowControl/>
              <w:bidi w:val="0"/>
              <w:ind w:left="0" w:right="0" w:firstLine="0"/>
              <w:jc w:val="center"/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pt-BR"/>
              </w:rPr>
              <w:t>Descrição dos indicadores</w:t>
            </w:r>
          </w:p>
        </w:tc>
        <w:tc>
          <w:tcPr>
            <w:tcW w:w="4109" w:type="dxa"/>
            <w:gridSpan w:val="4"/>
            <w:tcBorders>
              <w:top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D6E3BC" w:themeFill="accent3" w:themeFillTint="66"/>
            <w:vAlign w:val="center"/>
          </w:tcPr>
          <w:p>
            <w:pPr>
              <w:widowControl/>
              <w:bidi w:val="0"/>
              <w:ind w:left="0" w:right="0" w:firstLine="0"/>
              <w:jc w:val="center"/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pt-BR"/>
              </w:rPr>
              <w:t>Resultado (Nível de Conformidade</w:t>
            </w:r>
            <w:r>
              <w:rPr>
                <w:rStyle w:val="16"/>
                <w:rFonts w:ascii="Arial" w:hAnsi="Arial" w:eastAsia="Times New Roman" w:cs="Arial"/>
                <w:b/>
                <w:color w:val="000000"/>
                <w:sz w:val="24"/>
                <w:szCs w:val="24"/>
                <w:lang w:eastAsia="pt-BR"/>
              </w:rPr>
              <w:footnoteReference w:id="5"/>
            </w: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996" w:type="dxa"/>
            <w:gridSpan w:val="3"/>
            <w:tcBorders>
              <w:top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D6E3BC" w:themeFill="accent3" w:themeFillTint="66"/>
            <w:vAlign w:val="center"/>
          </w:tcPr>
          <w:p>
            <w:pPr>
              <w:widowControl/>
              <w:bidi w:val="0"/>
              <w:ind w:left="0" w:right="0" w:firstLine="0"/>
              <w:jc w:val="center"/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pt-BR"/>
              </w:rPr>
              <w:t>Redimensionamento do pagamento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83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D6E3BC" w:themeFill="accent3" w:themeFillTint="66"/>
            <w:vAlign w:val="center"/>
          </w:tcPr>
          <w:p>
            <w:pPr>
              <w:ind w:left="720" w:firstLine="0"/>
              <w:jc w:val="left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D6E3BC" w:themeFill="accent3" w:themeFillTint="66"/>
            <w:vAlign w:val="center"/>
          </w:tcPr>
          <w:p>
            <w:pPr>
              <w:widowControl/>
              <w:bidi w:val="0"/>
              <w:ind w:left="0" w:right="0" w:firstLine="0"/>
              <w:jc w:val="center"/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pt-BR"/>
              </w:rPr>
              <w:t>Inferior</w:t>
            </w:r>
            <w:r>
              <w:rPr>
                <w:rStyle w:val="16"/>
                <w:rFonts w:ascii="Arial" w:hAnsi="Arial" w:eastAsia="Times New Roman" w:cs="Arial"/>
                <w:b/>
                <w:color w:val="000000"/>
                <w:sz w:val="24"/>
                <w:szCs w:val="24"/>
                <w:lang w:eastAsia="pt-BR"/>
              </w:rPr>
              <w:footnoteReference w:id="6"/>
            </w:r>
          </w:p>
        </w:tc>
        <w:tc>
          <w:tcPr>
            <w:tcW w:w="12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D6E3BC" w:themeFill="accent3" w:themeFillTint="66"/>
            <w:vAlign w:val="center"/>
          </w:tcPr>
          <w:p>
            <w:pPr>
              <w:widowControl/>
              <w:bidi w:val="0"/>
              <w:ind w:left="0" w:right="0" w:firstLine="0"/>
              <w:jc w:val="center"/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pt-BR"/>
              </w:rPr>
              <w:t>Esperado</w:t>
            </w:r>
          </w:p>
        </w:tc>
        <w:tc>
          <w:tcPr>
            <w:tcW w:w="1700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D6E3BC" w:themeFill="accent3" w:themeFillTint="66"/>
            <w:vAlign w:val="center"/>
          </w:tcPr>
          <w:p>
            <w:pPr>
              <w:widowControl/>
              <w:bidi w:val="0"/>
              <w:ind w:left="0" w:right="0" w:firstLine="0"/>
              <w:jc w:val="center"/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pt-BR"/>
              </w:rPr>
              <w:t>Superior</w:t>
            </w:r>
          </w:p>
        </w:tc>
        <w:tc>
          <w:tcPr>
            <w:tcW w:w="8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D6E3BC" w:themeFill="accent3" w:themeFillTint="66"/>
            <w:vAlign w:val="center"/>
          </w:tcPr>
          <w:p>
            <w:pPr>
              <w:widowControl/>
              <w:bidi w:val="0"/>
              <w:ind w:left="0" w:right="0" w:firstLine="0"/>
              <w:jc w:val="left"/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27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D6E3BC" w:themeFill="accent3" w:themeFillTint="66"/>
            <w:vAlign w:val="center"/>
          </w:tcPr>
          <w:p>
            <w:pPr>
              <w:widowControl/>
              <w:bidi w:val="0"/>
              <w:ind w:left="0" w:right="0" w:firstLine="0"/>
              <w:jc w:val="center"/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pt-BR"/>
              </w:rPr>
              <w:t>Não se aplica</w:t>
            </w: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D6E3BC" w:themeFill="accent3" w:themeFillTint="66"/>
            <w:vAlign w:val="center"/>
          </w:tcPr>
          <w:p>
            <w:pPr>
              <w:widowControl/>
              <w:bidi w:val="0"/>
              <w:ind w:left="0" w:right="0" w:firstLine="0"/>
              <w:jc w:val="center"/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pt-BR"/>
              </w:rPr>
              <w:t>% de ajuste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23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left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INDICADOR 1</w:t>
            </w:r>
          </w:p>
        </w:tc>
        <w:tc>
          <w:tcPr>
            <w:tcW w:w="655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left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113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(       )</w:t>
            </w:r>
          </w:p>
        </w:tc>
        <w:tc>
          <w:tcPr>
            <w:tcW w:w="12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(       )</w:t>
            </w:r>
          </w:p>
        </w:tc>
        <w:tc>
          <w:tcPr>
            <w:tcW w:w="1700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(       )</w:t>
            </w:r>
          </w:p>
        </w:tc>
        <w:tc>
          <w:tcPr>
            <w:tcW w:w="8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(       )</w:t>
            </w:r>
          </w:p>
        </w:tc>
        <w:tc>
          <w:tcPr>
            <w:tcW w:w="127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(       )</w:t>
            </w: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23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left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INDICADOR 2</w:t>
            </w:r>
          </w:p>
        </w:tc>
        <w:tc>
          <w:tcPr>
            <w:tcW w:w="655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left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113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(       )</w:t>
            </w:r>
          </w:p>
        </w:tc>
        <w:tc>
          <w:tcPr>
            <w:tcW w:w="12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(       )</w:t>
            </w:r>
          </w:p>
        </w:tc>
        <w:tc>
          <w:tcPr>
            <w:tcW w:w="1700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(       )</w:t>
            </w:r>
          </w:p>
        </w:tc>
        <w:tc>
          <w:tcPr>
            <w:tcW w:w="8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(       )</w:t>
            </w:r>
          </w:p>
        </w:tc>
        <w:tc>
          <w:tcPr>
            <w:tcW w:w="127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(       )</w:t>
            </w: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23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left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INDICADOR 3</w:t>
            </w:r>
          </w:p>
        </w:tc>
        <w:tc>
          <w:tcPr>
            <w:tcW w:w="655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left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113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(       )</w:t>
            </w:r>
          </w:p>
        </w:tc>
        <w:tc>
          <w:tcPr>
            <w:tcW w:w="12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(       )</w:t>
            </w:r>
          </w:p>
        </w:tc>
        <w:tc>
          <w:tcPr>
            <w:tcW w:w="1700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(       )</w:t>
            </w:r>
          </w:p>
        </w:tc>
        <w:tc>
          <w:tcPr>
            <w:tcW w:w="8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(       )</w:t>
            </w:r>
          </w:p>
        </w:tc>
        <w:tc>
          <w:tcPr>
            <w:tcW w:w="127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(       )</w:t>
            </w: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23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left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INDICADOR 4</w:t>
            </w:r>
          </w:p>
        </w:tc>
        <w:tc>
          <w:tcPr>
            <w:tcW w:w="655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left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113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(       )</w:t>
            </w:r>
          </w:p>
        </w:tc>
        <w:tc>
          <w:tcPr>
            <w:tcW w:w="12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(       )</w:t>
            </w:r>
          </w:p>
        </w:tc>
        <w:tc>
          <w:tcPr>
            <w:tcW w:w="1700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(       )</w:t>
            </w:r>
          </w:p>
        </w:tc>
        <w:tc>
          <w:tcPr>
            <w:tcW w:w="8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(       )</w:t>
            </w:r>
          </w:p>
        </w:tc>
        <w:tc>
          <w:tcPr>
            <w:tcW w:w="127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(       )</w:t>
            </w: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23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left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INDICADOR 5</w:t>
            </w:r>
          </w:p>
        </w:tc>
        <w:tc>
          <w:tcPr>
            <w:tcW w:w="655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left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113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(       )</w:t>
            </w:r>
          </w:p>
        </w:tc>
        <w:tc>
          <w:tcPr>
            <w:tcW w:w="12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(       )</w:t>
            </w:r>
          </w:p>
        </w:tc>
        <w:tc>
          <w:tcPr>
            <w:tcW w:w="1700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(       )</w:t>
            </w:r>
          </w:p>
        </w:tc>
        <w:tc>
          <w:tcPr>
            <w:tcW w:w="8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(       )</w:t>
            </w:r>
          </w:p>
        </w:tc>
        <w:tc>
          <w:tcPr>
            <w:tcW w:w="127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(       )</w:t>
            </w: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1823" w:type="dxa"/>
            <w:shd w:val="clear" w:color="auto" w:fill="auto"/>
            <w:vAlign w:val="bottom"/>
          </w:tcPr>
          <w:p>
            <w:pPr>
              <w:ind w:left="720" w:firstLine="0"/>
              <w:jc w:val="left"/>
              <w:rPr>
                <w:rFonts w:ascii="Arial" w:hAnsi="Arial" w:eastAsia="Times New Roman" w:cs="Arial"/>
                <w:color w:val="000000"/>
                <w:lang w:eastAsia="pt-BR"/>
              </w:rPr>
            </w:pPr>
          </w:p>
        </w:tc>
        <w:tc>
          <w:tcPr>
            <w:tcW w:w="6553" w:type="dxa"/>
            <w:shd w:val="clear" w:color="auto" w:fill="auto"/>
            <w:vAlign w:val="bottom"/>
          </w:tcPr>
          <w:p>
            <w:pPr>
              <w:ind w:left="720" w:firstLine="0"/>
              <w:jc w:val="left"/>
              <w:rPr>
                <w:rFonts w:ascii="Arial" w:hAnsi="Arial" w:eastAsia="Times New Roman" w:cs="Arial"/>
                <w:color w:val="000000"/>
                <w:lang w:eastAsia="pt-BR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left"/>
              <w:rPr>
                <w:rFonts w:ascii="Arial" w:hAnsi="Arial" w:eastAsia="Times New Roman" w:cs="Arial"/>
                <w:color w:val="000000"/>
                <w:lang w:eastAsia="pt-BR"/>
              </w:rPr>
            </w:pPr>
          </w:p>
        </w:tc>
        <w:tc>
          <w:tcPr>
            <w:tcW w:w="1273" w:type="dxa"/>
            <w:shd w:val="clear" w:color="auto" w:fill="auto"/>
            <w:vAlign w:val="bottom"/>
          </w:tcPr>
          <w:p>
            <w:pPr>
              <w:ind w:left="720" w:firstLine="0"/>
              <w:jc w:val="left"/>
              <w:rPr>
                <w:rFonts w:ascii="Arial" w:hAnsi="Arial" w:eastAsia="Times New Roman" w:cs="Arial"/>
                <w:color w:val="000000"/>
                <w:lang w:eastAsia="pt-BR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>
            <w:pPr>
              <w:ind w:left="720" w:firstLine="0"/>
              <w:jc w:val="left"/>
              <w:rPr>
                <w:rFonts w:ascii="Arial" w:hAnsi="Arial" w:eastAsia="Times New Roman" w:cs="Arial"/>
                <w:color w:val="000000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TOTAL</w:t>
            </w:r>
          </w:p>
        </w:tc>
        <w:tc>
          <w:tcPr>
            <w:tcW w:w="127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bidi w:val="0"/>
              <w:ind w:left="0" w:right="0" w:firstLine="0"/>
              <w:jc w:val="right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0%</w:t>
            </w:r>
          </w:p>
        </w:tc>
        <w:tc>
          <w:tcPr>
            <w:tcW w:w="873" w:type="dxa"/>
            <w:shd w:val="clear" w:color="auto" w:fill="auto"/>
            <w:vAlign w:val="bottom"/>
          </w:tcPr>
          <w:p>
            <w:pPr>
              <w:ind w:left="720" w:firstLine="0"/>
              <w:jc w:val="left"/>
              <w:rPr>
                <w:rFonts w:ascii="Arial" w:hAnsi="Arial" w:eastAsia="Times New Roman" w:cs="Arial"/>
                <w:color w:val="000000"/>
                <w:lang w:eastAsia="pt-BR"/>
              </w:rPr>
            </w:pPr>
          </w:p>
        </w:tc>
      </w:tr>
    </w:tbl>
    <w:p>
      <w:pPr>
        <w:ind w:left="720" w:firstLine="0"/>
        <w:rPr>
          <w:rFonts w:ascii="Arial" w:hAnsi="Arial" w:cs="Arial"/>
          <w:b/>
          <w:color w:val="FF0000"/>
        </w:rPr>
      </w:pPr>
    </w:p>
    <w:p>
      <w:pPr>
        <w:ind w:left="720" w:firstLine="0"/>
        <w:rPr>
          <w:rFonts w:ascii="Arial" w:hAnsi="Arial" w:cs="Arial"/>
          <w:b/>
        </w:rPr>
      </w:pPr>
    </w:p>
    <w:p>
      <w:pPr>
        <w:ind w:left="72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CONCLUSÃO GERAL:</w:t>
      </w:r>
    </w:p>
    <w:p>
      <w:pPr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serviços prestados em relação à rotina de execução estabelecida, bem como os resultados alcançados em relação ao contratado, com a verificação dos prazos de execução e da qualidade demandada demonstraram-se:</w:t>
      </w:r>
    </w:p>
    <w:p>
      <w:pPr>
        <w:ind w:left="72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     ) ADEQUADOS           (    ) INADEQUADOS</w:t>
      </w:r>
      <w:r>
        <w:rPr>
          <w:rStyle w:val="16"/>
          <w:rFonts w:ascii="Arial" w:hAnsi="Arial" w:cs="Arial"/>
          <w:b/>
        </w:rPr>
        <w:footnoteReference w:id="7"/>
      </w:r>
    </w:p>
    <w:p>
      <w:pPr>
        <w:ind w:left="72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OBSERVAÇÕES QUANTO À INADEQUAÇÃO, INCLUSIVE QUANTO ÀS SANÇÕES A SEREM APLICADAS:________________________________________________________________________________________________</w:t>
      </w:r>
    </w:p>
    <w:p>
      <w:pPr>
        <w:ind w:left="72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OUTRAS OBSERVAÇÕES:_______________________________________________________________________________________________________________</w:t>
      </w:r>
    </w:p>
    <w:p>
      <w:pPr>
        <w:ind w:left="720" w:firstLine="0"/>
        <w:rPr>
          <w:rFonts w:ascii="Arial" w:hAnsi="Arial" w:cs="Arial"/>
          <w:b/>
          <w:color w:val="FF0000"/>
        </w:rPr>
      </w:pPr>
    </w:p>
    <w:p>
      <w:pPr>
        <w:ind w:left="720" w:firstLine="0"/>
        <w:rPr>
          <w:rFonts w:ascii="Arial" w:hAnsi="Arial" w:cs="Arial"/>
          <w:b/>
          <w:color w:val="FF0000"/>
        </w:rPr>
      </w:pPr>
    </w:p>
    <w:p>
      <w:pPr>
        <w:ind w:left="720" w:firstLine="0"/>
        <w:rPr>
          <w:rFonts w:ascii="Arial" w:hAnsi="Arial" w:cs="Arial"/>
          <w:b/>
          <w:color w:val="FF0000"/>
        </w:rPr>
      </w:pPr>
    </w:p>
    <w:p>
      <w:pPr>
        <w:ind w:left="720" w:firstLine="0"/>
        <w:rPr>
          <w:rFonts w:ascii="Arial" w:hAnsi="Arial" w:cs="Arial"/>
          <w:b/>
          <w:color w:val="FF0000"/>
        </w:rPr>
      </w:pPr>
    </w:p>
    <w:p>
      <w:pPr>
        <w:ind w:left="72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CONTROLE</w:t>
      </w:r>
      <w:r>
        <w:rPr>
          <w:rStyle w:val="16"/>
          <w:rFonts w:ascii="Arial" w:hAnsi="Arial" w:cs="Arial"/>
          <w:b/>
        </w:rPr>
        <w:footnoteReference w:id="8"/>
      </w:r>
      <w:r>
        <w:rPr>
          <w:rFonts w:ascii="Arial" w:hAnsi="Arial" w:cs="Arial"/>
          <w:b/>
        </w:rPr>
        <w:t xml:space="preserve"> DE ENTREGA E CONFORMIDADE DO MATERIAL:</w:t>
      </w:r>
      <w:r>
        <w:rPr>
          <w:rStyle w:val="16"/>
          <w:rFonts w:ascii="Arial" w:hAnsi="Arial" w:cs="Arial"/>
          <w:b/>
        </w:rPr>
        <w:footnoteReference w:id="9"/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3"/>
        <w:tblW w:w="15183" w:type="dxa"/>
        <w:tblInd w:w="55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2"/>
        <w:gridCol w:w="4530"/>
        <w:gridCol w:w="984"/>
        <w:gridCol w:w="934"/>
        <w:gridCol w:w="5"/>
        <w:gridCol w:w="1217"/>
        <w:gridCol w:w="4"/>
        <w:gridCol w:w="4"/>
        <w:gridCol w:w="1233"/>
        <w:gridCol w:w="3"/>
        <w:gridCol w:w="1817"/>
        <w:gridCol w:w="3"/>
        <w:gridCol w:w="6"/>
        <w:gridCol w:w="1526"/>
        <w:gridCol w:w="3"/>
        <w:gridCol w:w="1642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50" w:hRule="atLeast"/>
        </w:trPr>
        <w:tc>
          <w:tcPr>
            <w:tcW w:w="866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E3BC" w:themeFill="accent3" w:themeFillTint="66"/>
            <w:vAlign w:val="center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Valor Contratado</w:t>
            </w:r>
          </w:p>
        </w:tc>
        <w:tc>
          <w:tcPr>
            <w:tcW w:w="3145" w:type="dxa"/>
            <w:gridSpan w:val="5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E3BC" w:themeFill="accent3" w:themeFillTint="66"/>
            <w:vAlign w:val="center"/>
          </w:tcPr>
          <w:p>
            <w:pPr>
              <w:widowControl/>
              <w:bidi w:val="0"/>
              <w:ind w:left="0" w:right="0" w:firstLine="0"/>
              <w:jc w:val="center"/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Materiais entregues/utilizados</w:t>
            </w:r>
          </w:p>
        </w:tc>
        <w:tc>
          <w:tcPr>
            <w:tcW w:w="3375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E3BC" w:themeFill="accent3" w:themeFillTint="66"/>
            <w:vAlign w:val="center"/>
          </w:tcPr>
          <w:p>
            <w:pPr>
              <w:widowControl/>
              <w:bidi w:val="0"/>
              <w:ind w:left="0" w:right="0" w:firstLine="0"/>
              <w:jc w:val="center"/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Materiais não utilizados (Saldo a descontar)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 w:hRule="atLeast"/>
        </w:trPr>
        <w:tc>
          <w:tcPr>
            <w:tcW w:w="549" w:type="dxa"/>
            <w:tcBorders>
              <w:left w:val="single" w:color="000000" w:sz="8" w:space="0"/>
              <w:right w:val="single" w:color="000000" w:sz="4" w:space="0"/>
            </w:tcBorders>
            <w:shd w:val="clear" w:color="auto" w:fill="D6E3BC" w:themeFill="accent3" w:themeFillTint="66"/>
            <w:vAlign w:val="center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848" w:type="dxa"/>
            <w:tcBorders>
              <w:right w:val="single" w:color="000000" w:sz="4" w:space="0"/>
            </w:tcBorders>
            <w:shd w:val="clear" w:color="auto" w:fill="D6E3BC" w:themeFill="accent3" w:themeFillTint="66"/>
            <w:vAlign w:val="center"/>
          </w:tcPr>
          <w:p>
            <w:pPr>
              <w:widowControl/>
              <w:bidi w:val="0"/>
              <w:ind w:left="0" w:right="0" w:firstLine="0"/>
              <w:jc w:val="center"/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Produto/Equipamento</w:t>
            </w:r>
          </w:p>
        </w:tc>
        <w:tc>
          <w:tcPr>
            <w:tcW w:w="992" w:type="dxa"/>
            <w:tcBorders>
              <w:right w:val="single" w:color="000000" w:sz="4" w:space="0"/>
            </w:tcBorders>
            <w:shd w:val="clear" w:color="auto" w:fill="D6E3BC" w:themeFill="accent3" w:themeFillTint="66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Unidade Física</w:t>
            </w:r>
          </w:p>
        </w:tc>
        <w:tc>
          <w:tcPr>
            <w:tcW w:w="989" w:type="dxa"/>
            <w:tcBorders>
              <w:right w:val="single" w:color="000000" w:sz="4" w:space="0"/>
            </w:tcBorders>
            <w:shd w:val="clear" w:color="auto" w:fill="D6E3BC" w:themeFill="accent3" w:themeFillTint="66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Qtd. </w:t>
            </w:r>
          </w:p>
        </w:tc>
        <w:tc>
          <w:tcPr>
            <w:tcW w:w="1274" w:type="dxa"/>
            <w:gridSpan w:val="2"/>
            <w:tcBorders>
              <w:right w:val="single" w:color="000000" w:sz="8" w:space="0"/>
            </w:tcBorders>
            <w:shd w:val="clear" w:color="auto" w:fill="D6E3BC" w:themeFill="accent3" w:themeFillTint="66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Valor Total </w:t>
            </w:r>
          </w:p>
        </w:tc>
        <w:tc>
          <w:tcPr>
            <w:tcW w:w="1276" w:type="dxa"/>
            <w:gridSpan w:val="3"/>
            <w:tcBorders>
              <w:right w:val="single" w:color="000000" w:sz="4" w:space="0"/>
            </w:tcBorders>
            <w:shd w:val="clear" w:color="auto" w:fill="D6E3BC" w:themeFill="accent3" w:themeFillTint="66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Qtd. </w:t>
            </w:r>
          </w:p>
        </w:tc>
        <w:tc>
          <w:tcPr>
            <w:tcW w:w="1869" w:type="dxa"/>
            <w:gridSpan w:val="2"/>
            <w:tcBorders>
              <w:right w:val="single" w:color="000000" w:sz="8" w:space="0"/>
            </w:tcBorders>
            <w:shd w:val="clear" w:color="auto" w:fill="D6E3BC" w:themeFill="accent3" w:themeFillTint="66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Valor </w:t>
            </w:r>
          </w:p>
        </w:tc>
        <w:tc>
          <w:tcPr>
            <w:tcW w:w="1673" w:type="dxa"/>
            <w:gridSpan w:val="3"/>
            <w:tcBorders>
              <w:right w:val="single" w:color="000000" w:sz="4" w:space="0"/>
            </w:tcBorders>
            <w:shd w:val="clear" w:color="auto" w:fill="D6E3BC" w:themeFill="accent3" w:themeFillTint="66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Qtd. </w:t>
            </w:r>
          </w:p>
        </w:tc>
        <w:tc>
          <w:tcPr>
            <w:tcW w:w="1711" w:type="dxa"/>
            <w:gridSpan w:val="2"/>
            <w:tcBorders>
              <w:right w:val="single" w:color="000000" w:sz="8" w:space="0"/>
            </w:tcBorders>
            <w:shd w:val="clear" w:color="auto" w:fill="D6E3BC" w:themeFill="accent3" w:themeFillTint="66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Valor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D8E4BC"/>
            <w:vAlign w:val="center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720" w:firstLine="0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7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49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D8E4BC"/>
            <w:vAlign w:val="center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720" w:firstLine="0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4" w:type="dxa"/>
            <w:gridSpan w:val="2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69" w:type="dxa"/>
            <w:gridSpan w:val="2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73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1" w:type="dxa"/>
            <w:gridSpan w:val="2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49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D8E4BC"/>
            <w:vAlign w:val="center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8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720" w:firstLine="0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4" w:type="dxa"/>
            <w:gridSpan w:val="2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69" w:type="dxa"/>
            <w:gridSpan w:val="2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73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1" w:type="dxa"/>
            <w:gridSpan w:val="2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49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D8E4BC"/>
            <w:vAlign w:val="center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8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720" w:firstLine="0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4" w:type="dxa"/>
            <w:gridSpan w:val="2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69" w:type="dxa"/>
            <w:gridSpan w:val="2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73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1" w:type="dxa"/>
            <w:gridSpan w:val="2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49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D8E4BC"/>
            <w:vAlign w:val="center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8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720" w:firstLine="0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4" w:type="dxa"/>
            <w:gridSpan w:val="2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69" w:type="dxa"/>
            <w:gridSpan w:val="2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73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1" w:type="dxa"/>
            <w:gridSpan w:val="2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49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D8E4BC"/>
            <w:vAlign w:val="center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8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720" w:firstLine="0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4" w:type="dxa"/>
            <w:gridSpan w:val="2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69" w:type="dxa"/>
            <w:gridSpan w:val="2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73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1" w:type="dxa"/>
            <w:gridSpan w:val="2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49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D8E4BC"/>
            <w:vAlign w:val="center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8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720" w:firstLine="0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4" w:type="dxa"/>
            <w:gridSpan w:val="2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69" w:type="dxa"/>
            <w:gridSpan w:val="2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73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1" w:type="dxa"/>
            <w:gridSpan w:val="2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49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D8E4BC"/>
            <w:vAlign w:val="center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8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720" w:firstLine="0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4" w:type="dxa"/>
            <w:gridSpan w:val="2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69" w:type="dxa"/>
            <w:gridSpan w:val="2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73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1" w:type="dxa"/>
            <w:gridSpan w:val="2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49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D8E4BC"/>
            <w:vAlign w:val="center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8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720" w:firstLine="0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4" w:type="dxa"/>
            <w:gridSpan w:val="2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69" w:type="dxa"/>
            <w:gridSpan w:val="2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73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1" w:type="dxa"/>
            <w:gridSpan w:val="2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49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D8E4BC"/>
            <w:vAlign w:val="center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8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720" w:firstLine="0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4" w:type="dxa"/>
            <w:gridSpan w:val="2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69" w:type="dxa"/>
            <w:gridSpan w:val="2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73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1" w:type="dxa"/>
            <w:gridSpan w:val="2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5" w:hRule="atLeast"/>
        </w:trPr>
        <w:tc>
          <w:tcPr>
            <w:tcW w:w="549" w:type="dxa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D6E3BC" w:themeFill="accent3" w:themeFillTint="66"/>
            <w:vAlign w:val="center"/>
          </w:tcPr>
          <w:p>
            <w:pPr>
              <w:ind w:left="720" w:firstLine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6834" w:type="dxa"/>
            <w:gridSpan w:val="4"/>
            <w:tcBorders>
              <w:top w:val="single" w:color="000000" w:sz="4" w:space="0"/>
              <w:bottom w:val="single" w:color="000000" w:sz="8" w:space="0"/>
            </w:tcBorders>
            <w:shd w:val="clear" w:color="auto" w:fill="D6E3BC" w:themeFill="accent3" w:themeFillTint="66"/>
            <w:vAlign w:val="center"/>
          </w:tcPr>
          <w:p>
            <w:pPr>
              <w:ind w:left="720" w:firstLine="0"/>
              <w:jc w:val="lef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  <w:t>(=) TOTAL MENSAL</w:t>
            </w:r>
          </w:p>
        </w:tc>
        <w:tc>
          <w:tcPr>
            <w:tcW w:w="1274" w:type="dxa"/>
            <w:gridSpan w:val="2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D6E3BC" w:themeFill="accent3" w:themeFillTint="66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274" w:type="dxa"/>
            <w:gridSpan w:val="3"/>
            <w:tcBorders>
              <w:bottom w:val="single" w:color="000000" w:sz="8" w:space="0"/>
              <w:right w:val="single" w:color="000000" w:sz="4" w:space="0"/>
            </w:tcBorders>
            <w:shd w:val="clear" w:color="auto" w:fill="D6E3BC" w:themeFill="accent3" w:themeFillTint="66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869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D6E3BC" w:themeFill="accent3" w:themeFillTint="66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673" w:type="dxa"/>
            <w:gridSpan w:val="3"/>
            <w:tcBorders>
              <w:bottom w:val="single" w:color="000000" w:sz="8" w:space="0"/>
              <w:right w:val="single" w:color="000000" w:sz="4" w:space="0"/>
            </w:tcBorders>
            <w:shd w:val="clear" w:color="auto" w:fill="D6E3BC" w:themeFill="accent3" w:themeFillTint="66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0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D6E3BC" w:themeFill="accent3" w:themeFillTint="66"/>
            <w:vAlign w:val="center"/>
          </w:tcPr>
          <w:p>
            <w:pPr>
              <w:widowControl/>
              <w:bidi w:val="0"/>
              <w:ind w:left="0" w:right="0" w:firstLine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R$ 0,00</w:t>
            </w:r>
          </w:p>
        </w:tc>
      </w:tr>
    </w:tbl>
    <w:p>
      <w:pPr>
        <w:rPr>
          <w:rFonts w:ascii="Arial" w:hAnsi="Arial" w:cs="Arial"/>
        </w:rPr>
      </w:pPr>
    </w:p>
    <w:p>
      <w:pPr>
        <w:ind w:left="72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CONCLUSÃO GERAL</w:t>
      </w:r>
      <w:r>
        <w:rPr>
          <w:rStyle w:val="16"/>
          <w:rFonts w:ascii="Arial" w:hAnsi="Arial" w:cs="Arial"/>
          <w:b/>
        </w:rPr>
        <w:footnoteReference w:id="10"/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sz w:val="28"/>
          <w:szCs w:val="28"/>
        </w:rPr>
        <w:t>A qualidade e quantidade dos recursos materiais utilizados, em relação ao contratado, demonstraram-se:</w:t>
      </w:r>
    </w:p>
    <w:p>
      <w:pPr>
        <w:ind w:left="72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     ) CONFORME           (    ) NÃO CONFORME</w:t>
      </w:r>
    </w:p>
    <w:p>
      <w:pPr>
        <w:ind w:left="720" w:firstLine="0"/>
        <w:jc w:val="left"/>
        <w:rPr>
          <w:rFonts w:ascii="Arial" w:hAnsi="Arial" w:cs="Arial"/>
          <w:b/>
        </w:rPr>
      </w:pPr>
    </w:p>
    <w:p>
      <w:pPr>
        <w:ind w:left="72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OBSERVAÇÕES QUANTO À NÃO CONFORMIDADE:____________________________________________________________________________</w:t>
      </w:r>
    </w:p>
    <w:p>
      <w:pPr>
        <w:rPr>
          <w:rFonts w:ascii="Arial" w:hAnsi="Arial" w:cs="Arial"/>
        </w:rPr>
        <w:sectPr>
          <w:headerReference r:id="rId5" w:type="default"/>
          <w:footnotePr>
            <w:numFmt w:val="decimal"/>
          </w:footnotePr>
          <w:pgSz w:w="16838" w:h="11906" w:orient="landscape"/>
          <w:pgMar w:top="766" w:right="720" w:bottom="720" w:left="720" w:header="709" w:footer="0" w:gutter="0"/>
          <w:pgNumType w:fmt="decimal"/>
          <w:cols w:space="720" w:num="1"/>
          <w:formProt w:val="0"/>
          <w:docGrid w:linePitch="360" w:charSpace="4096"/>
        </w:sectPr>
      </w:pPr>
    </w:p>
    <w:p>
      <w:pPr>
        <w:rPr>
          <w:rFonts w:ascii="Arial" w:hAnsi="Arial" w:cs="Arial"/>
        </w:rPr>
      </w:pPr>
    </w:p>
    <w:p>
      <w:pPr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CONSIDERAÇÕES FINAIS E RECEBIMENTO PROVISÓRIO: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 do exposto, para fins de cumprimento do disposto no art. 49 e art. 50 da Instrução Normativa nº 05 do Ministério do Planejamento, Desenvolvimento e Gestão – MP, de 26/05/2017, atesto o recebimento provisório dos serviços prestados em __________(mês/ano), nos termos constantes neste relatório que avaliou a execução do objeto em relação aos moldes contratados, com as seguintes considerações:</w:t>
      </w:r>
    </w:p>
    <w:p>
      <w:pPr>
        <w:pStyle w:val="2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qualidade, quantidade e modo da prestação dos serviços estão (</w:t>
      </w:r>
      <w:r>
        <w:rPr>
          <w:rFonts w:ascii="Arial" w:hAnsi="Arial" w:cs="Arial"/>
          <w:sz w:val="24"/>
          <w:szCs w:val="24"/>
          <w:u w:val="single"/>
        </w:rPr>
        <w:t>in) compatíveis</w:t>
      </w:r>
      <w:r>
        <w:rPr>
          <w:rFonts w:ascii="Arial" w:hAnsi="Arial" w:cs="Arial"/>
          <w:sz w:val="24"/>
          <w:szCs w:val="24"/>
        </w:rPr>
        <w:t xml:space="preserve"> com os indicadores de níveis mínimos de desempenho estipulados no ato convocatório, e, para efeito de pagamento conforme o resultado, o valor contratado (não) deve ser redimensionado.</w:t>
      </w:r>
    </w:p>
    <w:p>
      <w:pPr>
        <w:pStyle w:val="23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Redimensionamento no percentual de ______________%. </w:t>
      </w:r>
    </w:p>
    <w:p>
      <w:pPr>
        <w:pStyle w:val="2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contratada deixou de utilizar materiais e recursos humanos exigidos para a execução do serviço, ou os utilizou com qualidade ou quantidade inferior à demandada, devendo ser realizados os seguintes abatimentos:</w:t>
      </w:r>
    </w:p>
    <w:p>
      <w:pPr>
        <w:pStyle w:val="23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Materiais: ___________R$ 0000,00 (valor por extenso)</w:t>
      </w:r>
    </w:p>
    <w:p>
      <w:pPr>
        <w:pStyle w:val="23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Mão de obra: ______________dias com postos ausentes e sem reposição.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Remeto este relatório e seus anexos ao Fiscal Administrativo para verificação dos aspectos administrativos que lhe competem, bem como para apuração do valor mensal devido, e solicito posterior encaminhamento ao Gestor do Contrato para recebimento definitivo dos serviços.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Fazem parte integrante deste documento: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 – xxxx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II – xxxxx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>
      <w:pPr>
        <w:jc w:val="center"/>
      </w:pPr>
      <w:r>
        <w:rPr>
          <w:rFonts w:ascii="Arial" w:hAnsi="Arial" w:cs="Arial"/>
        </w:rPr>
        <w:t>Fiscal Técnico/Setorial</w:t>
      </w:r>
    </w:p>
    <w:sectPr>
      <w:headerReference r:id="rId6" w:type="default"/>
      <w:footnotePr>
        <w:numFmt w:val="decimal"/>
      </w:footnotePr>
      <w:pgSz w:w="11906" w:h="16838"/>
      <w:pgMar w:top="766" w:right="720" w:bottom="720" w:left="720" w:header="709" w:footer="0" w:gutter="0"/>
      <w:pgNumType w:fmt="decimal"/>
      <w:cols w:space="720" w:num="1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2">
    <w:p>
      <w:r>
        <w:separator/>
      </w:r>
    </w:p>
  </w:footnote>
  <w:footnote w:type="continuationSeparator" w:id="23">
    <w:p>
      <w:r>
        <w:continuationSeparator/>
      </w:r>
    </w:p>
  </w:footnote>
  <w:footnote w:id="0">
    <w:p>
      <w:pPr>
        <w:pStyle w:val="10"/>
      </w:pPr>
      <w:r>
        <w:rPr>
          <w:rStyle w:val="18"/>
        </w:rPr>
        <w:footnoteRef/>
      </w:r>
      <w:r>
        <w:t xml:space="preserve"> Não substitui a mensuração do resultado por meio do Instrumento de Medição de Resultado (IMR) previsto no edital.</w:t>
      </w:r>
    </w:p>
  </w:footnote>
  <w:footnote w:id="1">
    <w:p>
      <w:pPr>
        <w:pStyle w:val="10"/>
        <w:ind w:firstLine="0"/>
      </w:pPr>
      <w:r>
        <w:rPr>
          <w:rStyle w:val="18"/>
        </w:rPr>
        <w:footnoteRef/>
      </w:r>
      <w:r>
        <w:t xml:space="preserve"> As faltas deverão ser lançadas no Livro de Ocorrências do Fiscal no SIPAC</w:t>
      </w:r>
    </w:p>
  </w:footnote>
  <w:footnote w:id="2">
    <w:p>
      <w:pPr>
        <w:pStyle w:val="10"/>
        <w:ind w:firstLine="0"/>
      </w:pPr>
      <w:r>
        <w:rPr>
          <w:rStyle w:val="18"/>
        </w:rPr>
        <w:footnoteRef/>
      </w:r>
      <w:r>
        <w:rPr>
          <w:sz w:val="18"/>
          <w:szCs w:val="18"/>
        </w:rPr>
        <w:t xml:space="preserve"> A aferição da qualidade dos serviços e a avaliação de desempenho deverão estar em conformidade com o previsto no edital (o modelo acima é meramente exemplificativo). O redimensionamento no pagamento também será feito de acordo com o previsto no edital, sempre que a contratada: não produzir os resultados, deixar de executar com qualidade mínima exigida as atividades contratadas, ou deixar de utilizar materiais e recursos humanos exigidos para a execução do serviço, ou utilizá-los com qualidade inferior à demandada.</w:t>
      </w:r>
    </w:p>
  </w:footnote>
  <w:footnote w:id="3">
    <w:p>
      <w:pPr>
        <w:pStyle w:val="10"/>
        <w:ind w:firstLine="0"/>
      </w:pPr>
      <w:r>
        <w:rPr>
          <w:rStyle w:val="18"/>
        </w:rPr>
        <w:footnoteRef/>
      </w:r>
      <w:r>
        <w:rPr>
          <w:sz w:val="18"/>
          <w:szCs w:val="18"/>
        </w:rPr>
        <w:t xml:space="preserve"> O fiscal técnico poderá realizar a avaliação diária, semanal, ou mensal, desde que o período escolhido seja suficiente para avaliar ou, se for o caso, aferir o desempenho e qualidade da prestação dos serviços.</w:t>
      </w:r>
    </w:p>
  </w:footnote>
  <w:footnote w:id="4">
    <w:p>
      <w:pPr>
        <w:pStyle w:val="10"/>
        <w:ind w:firstLine="0"/>
      </w:pPr>
      <w:r>
        <w:rPr>
          <w:rStyle w:val="18"/>
        </w:rPr>
        <w:footnoteRef/>
      </w:r>
      <w:r>
        <w:rPr>
          <w:sz w:val="18"/>
          <w:szCs w:val="18"/>
        </w:rPr>
        <w:t xml:space="preserve"> É vedada a atribuição à contratada da avaliação de desempenho e qualidade da prestação dos serviços realizada. O fiscal técnico deverá apresentar ao preposto da contratada a avaliação da execução do objeto ou, se for o caso, a avaliação de desempenho da qualidade da prestação dos serviços realizada e este deverá apor assinatura no documento, tomando ciência da avaliação realizada.</w:t>
      </w:r>
    </w:p>
  </w:footnote>
  <w:footnote w:id="5">
    <w:p>
      <w:pPr>
        <w:pStyle w:val="10"/>
        <w:ind w:firstLine="0"/>
      </w:pPr>
      <w:r>
        <w:rPr>
          <w:rStyle w:val="18"/>
        </w:rPr>
        <w:footnoteRef/>
      </w:r>
      <w:r>
        <w:t xml:space="preserve"> </w:t>
      </w:r>
      <w:r>
        <w:rPr>
          <w:sz w:val="18"/>
          <w:szCs w:val="18"/>
        </w:rPr>
        <w:t>O fiscal técnico deverá monitorar constantemente o nível de qualidade dos serviços para evitar a sua degeneração, devendo intervir para requerer à contratada a correção das faltas, falhas e irregularidades constatadas.</w:t>
      </w:r>
    </w:p>
  </w:footnote>
  <w:footnote w:id="6">
    <w:p>
      <w:pPr>
        <w:pStyle w:val="10"/>
        <w:ind w:firstLine="0"/>
      </w:pPr>
      <w:r>
        <w:rPr>
          <w:rStyle w:val="18"/>
        </w:rPr>
        <w:footnoteRef/>
      </w:r>
      <w:r>
        <w:rPr>
          <w:sz w:val="18"/>
          <w:szCs w:val="18"/>
        </w:rPr>
        <w:t xml:space="preserve"> A contratada poderá apresentar justificativa para a prestação do serviço com menor nível de conformidade, que poderá ser aceita pelo fiscal técnico, desde que comprovada a excepcionalidade da ocorrência, resultante exclusivamente de fatores imprevisíveis e alheios ao controle do prestador.</w:t>
      </w:r>
    </w:p>
  </w:footnote>
  <w:footnote w:id="7">
    <w:p>
      <w:pPr>
        <w:pStyle w:val="10"/>
        <w:ind w:firstLine="0"/>
      </w:pPr>
      <w:r>
        <w:rPr>
          <w:rStyle w:val="18"/>
        </w:rPr>
        <w:footnoteRef/>
      </w:r>
      <w:r>
        <w:rPr>
          <w:sz w:val="18"/>
          <w:szCs w:val="18"/>
        </w:rPr>
        <w:t xml:space="preserve"> Na hipótese de comportamento contínuo de desconformidade da prestação do serviço em relação à qualidade exigida, bem como quando esta ultrapassar os níveis mínimos toleráveis previstos nos indicadores, além dos fatores redutores, devem ser aplicadas as sanções à contratada de acordo com as regras previstas no ato convocatório.</w:t>
      </w:r>
    </w:p>
  </w:footnote>
  <w:footnote w:id="8">
    <w:p>
      <w:pPr>
        <w:pStyle w:val="10"/>
        <w:ind w:firstLine="0"/>
      </w:pPr>
      <w:r>
        <w:rPr>
          <w:rStyle w:val="18"/>
        </w:rPr>
        <w:footnoteRef/>
      </w:r>
      <w:r>
        <w:rPr>
          <w:rFonts w:ascii="Arial" w:hAnsi="Arial" w:cs="Arial"/>
          <w:sz w:val="18"/>
          <w:szCs w:val="18"/>
        </w:rPr>
        <w:t xml:space="preserve"> Deve ser estabelecido, desde o início da prestação dos serviços, mecanismo de controle da utilização dos materiais empregados nos contratos, para efeito de acompanhamento da execução do objeto bem como para subsidiar a estimativa para futuras contratações.</w:t>
      </w:r>
    </w:p>
  </w:footnote>
  <w:footnote w:id="9">
    <w:p>
      <w:pPr>
        <w:pStyle w:val="10"/>
        <w:ind w:firstLine="0"/>
      </w:pPr>
      <w:r>
        <w:rPr>
          <w:rStyle w:val="18"/>
        </w:rPr>
        <w:footnoteRef/>
      </w:r>
      <w:r>
        <w:rPr>
          <w:rFonts w:ascii="Arial" w:hAnsi="Arial" w:cs="Arial"/>
          <w:sz w:val="18"/>
          <w:szCs w:val="18"/>
        </w:rPr>
        <w:t xml:space="preserve"> Esta planilha pode ser alimentada à parte, na própria planilha de custos do contrato, para facilitar o preenchimento, constando nesse item apenas a solicitação do desconto dos materiais não entregues/utilizados e a planilha como um anexo a este relatório.</w:t>
      </w:r>
    </w:p>
  </w:footnote>
  <w:footnote w:id="10">
    <w:p>
      <w:pPr>
        <w:pStyle w:val="10"/>
        <w:ind w:firstLine="0"/>
      </w:pPr>
      <w:r>
        <w:rPr>
          <w:rStyle w:val="18"/>
        </w:rPr>
        <w:footnoteRef/>
      </w:r>
      <w:r>
        <w:t xml:space="preserve">  A conformidade do material a ser utilizado na execução dos serviços deverá ser verificada juntamente com o documento da contratada que contenha a relação detalhada destes, de acordo com o estabelecido no contrato, informando as respectivas quantidades e especificações técnicas, tais como marca, qualidade e forma de uso.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 w:firstLine="709"/>
      <w:jc w:val="center"/>
      <w:rPr>
        <w:rFonts w:ascii="Arial" w:hAnsi="Arial" w:cs="Arial"/>
        <w:b/>
        <w:bCs/>
        <w:lang w:val="pt-PT" w:eastAsia="ar-SA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9123045</wp:posOffset>
          </wp:positionH>
          <wp:positionV relativeFrom="paragraph">
            <wp:posOffset>-293370</wp:posOffset>
          </wp:positionV>
          <wp:extent cx="1028700" cy="981710"/>
          <wp:effectExtent l="0" t="0" r="0" b="0"/>
          <wp:wrapNone/>
          <wp:docPr id="1" name="Imagem 6" descr="Descrição: Carimbo Numeração Pá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escrição: Carimbo Numeração Pági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2929890</wp:posOffset>
          </wp:positionH>
          <wp:positionV relativeFrom="paragraph">
            <wp:posOffset>-431800</wp:posOffset>
          </wp:positionV>
          <wp:extent cx="609600" cy="603885"/>
          <wp:effectExtent l="0" t="0" r="0" b="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0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9"/>
        <w:szCs w:val="19"/>
        <w:lang w:eastAsia="ar-SA"/>
      </w:rPr>
      <w:t> </w:t>
    </w:r>
  </w:p>
  <w:p>
    <w:pPr>
      <w:pStyle w:val="6"/>
      <w:jc w:val="center"/>
      <w:rPr>
        <w:rFonts w:ascii="Arial" w:hAnsi="Arial" w:cs="Arial"/>
        <w:b/>
        <w:bCs/>
        <w:sz w:val="24"/>
        <w:szCs w:val="24"/>
        <w:lang w:val="pt-PT" w:eastAsia="ar-SA"/>
      </w:rPr>
    </w:pPr>
    <w:r>
      <w:rPr>
        <w:rFonts w:ascii="Arial" w:hAnsi="Arial" w:cs="Arial"/>
        <w:b/>
        <w:bCs/>
        <w:sz w:val="24"/>
        <w:szCs w:val="24"/>
        <w:lang w:val="pt-PT" w:eastAsia="ar-SA"/>
      </w:rPr>
      <w:t xml:space="preserve">MINISTÉRIO DA EDUCAÇÃO </w:t>
    </w:r>
    <w:r>
      <w:rPr>
        <w:rFonts w:ascii="Arial" w:hAnsi="Arial" w:cs="Arial"/>
        <w:b/>
        <w:bCs/>
        <w:sz w:val="24"/>
        <w:szCs w:val="24"/>
        <w:lang w:val="pt-PT" w:eastAsia="ar-SA"/>
      </w:rPr>
      <w:br w:type="textWrapping"/>
    </w:r>
    <w:r>
      <w:rPr>
        <w:rFonts w:ascii="Arial" w:hAnsi="Arial" w:cs="Arial"/>
        <w:b/>
        <w:bCs/>
        <w:sz w:val="24"/>
        <w:szCs w:val="24"/>
        <w:lang w:val="pt-PT" w:eastAsia="ar-SA"/>
      </w:rPr>
      <w:t xml:space="preserve">FUNDAÇÃO UNIVERSIDADE FEDERAL DA GRANDE DOURADOS </w:t>
    </w:r>
  </w:p>
  <w:p>
    <w:pPr>
      <w:pStyle w:val="6"/>
      <w:jc w:val="center"/>
      <w:rPr>
        <w:sz w:val="24"/>
        <w:szCs w:val="24"/>
      </w:rPr>
    </w:pPr>
    <w:r>
      <w:rPr>
        <w:rFonts w:ascii="Arial" w:hAnsi="Arial" w:cs="Arial"/>
        <w:b/>
        <w:bCs/>
        <w:sz w:val="24"/>
        <w:szCs w:val="24"/>
        <w:lang w:val="pt-PT" w:eastAsia="ar-SA"/>
      </w:rPr>
      <w:t>RELATÓRIO CIRCUNSTANCIADO DE FISCALIZAÇÃO TÉCNICA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 w:firstLine="709"/>
      <w:jc w:val="center"/>
    </w:pP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2929890</wp:posOffset>
          </wp:positionH>
          <wp:positionV relativeFrom="paragraph">
            <wp:posOffset>-431800</wp:posOffset>
          </wp:positionV>
          <wp:extent cx="609600" cy="603885"/>
          <wp:effectExtent l="0" t="0" r="0" b="0"/>
          <wp:wrapNone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9123045</wp:posOffset>
          </wp:positionH>
          <wp:positionV relativeFrom="paragraph">
            <wp:posOffset>-293370</wp:posOffset>
          </wp:positionV>
          <wp:extent cx="1028700" cy="981710"/>
          <wp:effectExtent l="0" t="0" r="0" b="0"/>
          <wp:wrapNone/>
          <wp:docPr id="4" name="Figura2" descr="Descrição: Carimbo Numeração Pá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Descrição: Carimbo Numeração Págin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2870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9"/>
        <w:szCs w:val="19"/>
        <w:lang w:eastAsia="ar-SA"/>
      </w:rPr>
      <w:t> </w:t>
    </w:r>
  </w:p>
  <w:p>
    <w:pPr>
      <w:pStyle w:val="6"/>
      <w:jc w:val="center"/>
    </w:pPr>
    <w:r>
      <w:rPr>
        <w:rFonts w:ascii="Arial" w:hAnsi="Arial" w:cs="Arial"/>
        <w:b/>
        <w:bCs/>
        <w:sz w:val="24"/>
        <w:szCs w:val="24"/>
        <w:lang w:val="pt-PT" w:eastAsia="ar-SA"/>
      </w:rPr>
      <w:t xml:space="preserve">MINISTÉRIO DA EDUCAÇÃO </w:t>
    </w:r>
    <w:r>
      <w:rPr>
        <w:rFonts w:ascii="Arial" w:hAnsi="Arial" w:cs="Arial"/>
        <w:b/>
        <w:bCs/>
        <w:sz w:val="24"/>
        <w:szCs w:val="24"/>
        <w:lang w:val="pt-PT" w:eastAsia="ar-SA"/>
      </w:rPr>
      <w:br w:type="textWrapping"/>
    </w:r>
    <w:r>
      <w:rPr>
        <w:rFonts w:ascii="Arial" w:hAnsi="Arial" w:cs="Arial"/>
        <w:b/>
        <w:bCs/>
        <w:sz w:val="24"/>
        <w:szCs w:val="24"/>
        <w:lang w:val="pt-PT" w:eastAsia="ar-SA"/>
      </w:rPr>
      <w:t xml:space="preserve">FUNDAÇÃO UNIVERSIDADE FEDERAL DA GRANDE DOURADOS </w:t>
    </w:r>
  </w:p>
  <w:p>
    <w:pPr>
      <w:pStyle w:val="6"/>
      <w:jc w:val="center"/>
    </w:pPr>
    <w:r>
      <w:rPr>
        <w:rFonts w:ascii="Arial" w:hAnsi="Arial" w:cs="Arial"/>
        <w:b/>
        <w:bCs/>
        <w:sz w:val="24"/>
        <w:szCs w:val="24"/>
        <w:lang w:val="pt-PT" w:eastAsia="ar-SA"/>
      </w:rPr>
      <w:t>RELATÓRIO CIRCUNSTANCIADO DE FISCALIZAÇÃO TÉCNICA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 w:firstLine="709"/>
      <w:jc w:val="center"/>
    </w:pP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9123045</wp:posOffset>
          </wp:positionH>
          <wp:positionV relativeFrom="paragraph">
            <wp:posOffset>-293370</wp:posOffset>
          </wp:positionV>
          <wp:extent cx="1028700" cy="981710"/>
          <wp:effectExtent l="0" t="0" r="0" b="0"/>
          <wp:wrapNone/>
          <wp:docPr id="5" name="Figura4" descr="Descrição: Carimbo Numeração Pá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4" descr="Descrição: Carimbo Numeração Pági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2929890</wp:posOffset>
          </wp:positionH>
          <wp:positionV relativeFrom="paragraph">
            <wp:posOffset>-431800</wp:posOffset>
          </wp:positionV>
          <wp:extent cx="609600" cy="603885"/>
          <wp:effectExtent l="0" t="0" r="0" b="0"/>
          <wp:wrapNone/>
          <wp:docPr id="6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0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9"/>
        <w:szCs w:val="19"/>
        <w:lang w:eastAsia="ar-SA"/>
      </w:rPr>
      <w:t> </w:t>
    </w:r>
  </w:p>
  <w:p>
    <w:pPr>
      <w:pStyle w:val="6"/>
      <w:jc w:val="center"/>
    </w:pPr>
    <w:r>
      <w:rPr>
        <w:rFonts w:ascii="Arial" w:hAnsi="Arial" w:cs="Arial"/>
        <w:b/>
        <w:bCs/>
        <w:sz w:val="24"/>
        <w:szCs w:val="24"/>
        <w:lang w:val="pt-PT" w:eastAsia="ar-SA"/>
      </w:rPr>
      <w:t xml:space="preserve">MINISTÉRIO DA EDUCAÇÃO </w:t>
    </w:r>
    <w:r>
      <w:rPr>
        <w:rFonts w:ascii="Arial" w:hAnsi="Arial" w:cs="Arial"/>
        <w:b/>
        <w:bCs/>
        <w:sz w:val="24"/>
        <w:szCs w:val="24"/>
        <w:lang w:val="pt-PT" w:eastAsia="ar-SA"/>
      </w:rPr>
      <w:br w:type="textWrapping"/>
    </w:r>
    <w:r>
      <w:rPr>
        <w:rFonts w:ascii="Arial" w:hAnsi="Arial" w:cs="Arial"/>
        <w:b/>
        <w:bCs/>
        <w:sz w:val="24"/>
        <w:szCs w:val="24"/>
        <w:lang w:val="pt-PT" w:eastAsia="ar-SA"/>
      </w:rPr>
      <w:t xml:space="preserve">FUNDAÇÃO UNIVERSIDADE FEDERAL DA GRANDE DOURADOS </w:t>
    </w:r>
  </w:p>
  <w:p>
    <w:pPr>
      <w:pStyle w:val="6"/>
      <w:jc w:val="center"/>
    </w:pPr>
    <w:r>
      <w:rPr>
        <w:rFonts w:ascii="Arial" w:hAnsi="Arial" w:cs="Arial"/>
        <w:b/>
        <w:bCs/>
        <w:sz w:val="24"/>
        <w:szCs w:val="24"/>
        <w:lang w:val="pt-PT" w:eastAsia="ar-SA"/>
      </w:rPr>
      <w:t>RELATÓRIO CIRCUNSTANCIADO DE FISCALIZAÇÃO TÉCNICA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lowerLetter"/>
      <w:lvlText w:val="%1)"/>
      <w:lvlJc w:val="left"/>
      <w:pPr>
        <w:ind w:left="1069" w:hanging="360"/>
      </w:p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footnotePr>
    <w:footnote w:id="22"/>
    <w:footnote w:id="23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4321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bidi w:val="0"/>
      <w:ind w:firstLine="709"/>
      <w:jc w:val="both"/>
    </w:pPr>
    <w:rPr>
      <w:rFonts w:asciiTheme="minorHAnsi" w:hAnsiTheme="minorHAnsi" w:eastAsiaTheme="minorHAnsi" w:cstheme="minorBidi"/>
      <w:color w:val="auto"/>
      <w:kern w:val="0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0"/>
    <w:rPr>
      <w:rFonts w:cs="Arial"/>
    </w:rPr>
  </w:style>
  <w:style w:type="paragraph" w:styleId="5">
    <w:name w:val="Body Text"/>
    <w:basedOn w:val="1"/>
    <w:uiPriority w:val="0"/>
    <w:pPr>
      <w:spacing w:before="0" w:after="140" w:line="276" w:lineRule="auto"/>
    </w:pPr>
  </w:style>
  <w:style w:type="paragraph" w:styleId="6">
    <w:name w:val="header"/>
    <w:basedOn w:val="1"/>
    <w:link w:val="12"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9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0">
    <w:name w:val="footnote text"/>
    <w:basedOn w:val="1"/>
    <w:link w:val="15"/>
    <w:semiHidden/>
    <w:unhideWhenUsed/>
    <w:uiPriority w:val="99"/>
    <w:rPr>
      <w:sz w:val="20"/>
      <w:szCs w:val="20"/>
    </w:rPr>
  </w:style>
  <w:style w:type="table" w:styleId="11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Cabeçalho Char"/>
    <w:basedOn w:val="2"/>
    <w:link w:val="6"/>
    <w:qFormat/>
    <w:uiPriority w:val="99"/>
  </w:style>
  <w:style w:type="character" w:customStyle="1" w:styleId="13">
    <w:name w:val="Rodapé Char"/>
    <w:basedOn w:val="2"/>
    <w:link w:val="7"/>
    <w:qFormat/>
    <w:uiPriority w:val="99"/>
  </w:style>
  <w:style w:type="character" w:customStyle="1" w:styleId="14">
    <w:name w:val="Texto de balão Char"/>
    <w:basedOn w:val="2"/>
    <w:link w:val="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5">
    <w:name w:val="Texto de nota de rodapé Char"/>
    <w:basedOn w:val="2"/>
    <w:link w:val="10"/>
    <w:semiHidden/>
    <w:qFormat/>
    <w:uiPriority w:val="99"/>
    <w:rPr>
      <w:sz w:val="20"/>
      <w:szCs w:val="20"/>
    </w:rPr>
  </w:style>
  <w:style w:type="character" w:customStyle="1" w:styleId="16">
    <w:name w:val="Âncora da nota de rodapé"/>
    <w:uiPriority w:val="0"/>
    <w:rPr>
      <w:vertAlign w:val="superscript"/>
    </w:rPr>
  </w:style>
  <w:style w:type="character" w:customStyle="1" w:styleId="17">
    <w:name w:val="Footnote Characters"/>
    <w:basedOn w:val="2"/>
    <w:semiHidden/>
    <w:unhideWhenUsed/>
    <w:qFormat/>
    <w:uiPriority w:val="99"/>
    <w:rPr>
      <w:vertAlign w:val="superscript"/>
    </w:rPr>
  </w:style>
  <w:style w:type="character" w:customStyle="1" w:styleId="18">
    <w:name w:val="Caracteres de nota de rodapé"/>
    <w:qFormat/>
    <w:uiPriority w:val="0"/>
  </w:style>
  <w:style w:type="character" w:customStyle="1" w:styleId="19">
    <w:name w:val="Âncora da nota de fim"/>
    <w:uiPriority w:val="0"/>
    <w:rPr>
      <w:vertAlign w:val="superscript"/>
    </w:rPr>
  </w:style>
  <w:style w:type="character" w:customStyle="1" w:styleId="20">
    <w:name w:val="Caracteres de nota de fim"/>
    <w:qFormat/>
    <w:uiPriority w:val="0"/>
  </w:style>
  <w:style w:type="paragraph" w:customStyle="1" w:styleId="21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22">
    <w:name w:val="Índice"/>
    <w:basedOn w:val="1"/>
    <w:qFormat/>
    <w:uiPriority w:val="0"/>
    <w:pPr>
      <w:suppressLineNumbers/>
    </w:pPr>
    <w:rPr>
      <w:rFonts w:cs="Arial"/>
    </w:rPr>
  </w:style>
  <w:style w:type="paragraph" w:styleId="23">
    <w:name w:val="List Paragraph"/>
    <w:basedOn w:val="1"/>
    <w:qFormat/>
    <w:uiPriority w:val="34"/>
    <w:pPr>
      <w:spacing w:before="0" w:after="0"/>
      <w:ind w:left="720" w:firstLine="709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03099-BCE0-4AB1-8D75-53CBAD49CA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1381</Words>
  <Characters>8378</Characters>
  <Paragraphs>316</Paragraphs>
  <TotalTime>203</TotalTime>
  <ScaleCrop>false</ScaleCrop>
  <LinksUpToDate>false</LinksUpToDate>
  <CharactersWithSpaces>10010</CharactersWithSpaces>
  <Application>WPS Office_11.2.0.11516_F1E327BC-269C-435d-A152-05C5408002CA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2019-05-14T22:08:00Z</dcterms:created>
  <dc:creator>Mirian Lima dos Santos</dc:creator>
  <cp:lastModifiedBy>leonardomenegucci</cp:lastModifiedBy>
  <dcterms:modified xsi:type="dcterms:W3CDTF">2023-04-04T15:19:48Z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1046-11.2.0.11516</vt:lpwstr>
  </property>
  <property fmtid="{D5CDD505-2E9C-101B-9397-08002B2CF9AE}" pid="10" name="ICV">
    <vt:lpwstr>A382BB7A3ADC4E6FB67D48452A52948E</vt:lpwstr>
  </property>
</Properties>
</file>